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5D64849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E1BB6" w:rsidRPr="009E1BB6">
        <w:t>9</w:t>
      </w:r>
      <w:r w:rsidR="00A238C4">
        <w:t>6bis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05778C">
        <w:rPr>
          <w:sz w:val="32"/>
          <w:szCs w:val="32"/>
        </w:rPr>
        <w:t>1</w:t>
      </w:r>
      <w:r w:rsidR="00A238C4" w:rsidRPr="0005778C">
        <w:rPr>
          <w:sz w:val="32"/>
          <w:szCs w:val="32"/>
        </w:rPr>
        <w:t>9</w:t>
      </w:r>
      <w:r w:rsidR="0005778C" w:rsidRPr="0005778C">
        <w:rPr>
          <w:sz w:val="32"/>
          <w:szCs w:val="32"/>
        </w:rPr>
        <w:t>05203</w:t>
      </w:r>
    </w:p>
    <w:p w14:paraId="06CCB2C4" w14:textId="77777777" w:rsidR="009E1BB6" w:rsidRPr="00CE0424" w:rsidRDefault="009E1BB6" w:rsidP="009E1BB6">
      <w:pPr>
        <w:pStyle w:val="3GPPHeader"/>
      </w:pPr>
      <w:r w:rsidRPr="0007214C">
        <w:t>Spokane, USA, November 12</w:t>
      </w:r>
      <w:r w:rsidRPr="002A312D">
        <w:rPr>
          <w:vertAlign w:val="superscript"/>
        </w:rPr>
        <w:t>th</w:t>
      </w:r>
      <w:r w:rsidRPr="0007214C">
        <w:t xml:space="preserve"> – 16</w:t>
      </w:r>
      <w:r w:rsidRPr="002A312D">
        <w:rPr>
          <w:vertAlign w:val="superscript"/>
        </w:rPr>
        <w:t>th</w:t>
      </w:r>
      <w:r w:rsidRPr="0007214C">
        <w:t>, 2018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40E101DD" w:rsidR="00E90E49" w:rsidRPr="008D3C55" w:rsidRDefault="00E90E49" w:rsidP="00311702">
      <w:pPr>
        <w:pStyle w:val="3GPPHeader"/>
        <w:rPr>
          <w:sz w:val="22"/>
          <w:szCs w:val="22"/>
          <w:lang w:val="en-US"/>
        </w:rPr>
      </w:pPr>
      <w:r w:rsidRPr="008D3C55">
        <w:rPr>
          <w:sz w:val="22"/>
          <w:szCs w:val="22"/>
          <w:lang w:val="en-US"/>
        </w:rPr>
        <w:t>Agenda Item:</w:t>
      </w:r>
      <w:r w:rsidRPr="008D3C55">
        <w:rPr>
          <w:sz w:val="22"/>
          <w:szCs w:val="22"/>
          <w:lang w:val="en-US"/>
        </w:rPr>
        <w:tab/>
      </w:r>
      <w:r w:rsidR="00E32489" w:rsidRPr="008D3C55">
        <w:rPr>
          <w:sz w:val="22"/>
          <w:szCs w:val="22"/>
          <w:lang w:val="en-US"/>
        </w:rPr>
        <w:t>7</w:t>
      </w:r>
      <w:r w:rsidR="00311702" w:rsidRPr="008D3C55">
        <w:rPr>
          <w:sz w:val="22"/>
          <w:szCs w:val="22"/>
          <w:lang w:val="en-US"/>
        </w:rPr>
        <w:t>.</w:t>
      </w:r>
      <w:r w:rsidR="00E32489" w:rsidRPr="008D3C55">
        <w:rPr>
          <w:sz w:val="22"/>
          <w:szCs w:val="22"/>
          <w:lang w:val="en-US"/>
        </w:rPr>
        <w:t>2</w:t>
      </w:r>
      <w:r w:rsidR="00311702" w:rsidRPr="008D3C55">
        <w:rPr>
          <w:sz w:val="22"/>
          <w:szCs w:val="22"/>
          <w:lang w:val="en-US"/>
        </w:rPr>
        <w:t>.</w:t>
      </w:r>
      <w:r w:rsidR="00E32489" w:rsidRPr="008D3C55">
        <w:rPr>
          <w:sz w:val="22"/>
          <w:szCs w:val="22"/>
          <w:lang w:val="en-US"/>
        </w:rPr>
        <w:t>11</w:t>
      </w:r>
      <w:r w:rsidR="00311702" w:rsidRPr="008D3C55">
        <w:rPr>
          <w:sz w:val="22"/>
          <w:szCs w:val="22"/>
          <w:lang w:val="en-US"/>
        </w:rPr>
        <w:t>.</w:t>
      </w:r>
      <w:r w:rsidR="00B33034">
        <w:rPr>
          <w:sz w:val="22"/>
          <w:szCs w:val="22"/>
          <w:lang w:val="en-US"/>
        </w:rPr>
        <w:t>4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42F4BA28" w:rsidR="00E90E49" w:rsidRPr="00CE0424" w:rsidRDefault="003D3C45" w:rsidP="00311702">
      <w:pPr>
        <w:pStyle w:val="3GPPHeader"/>
        <w:rPr>
          <w:sz w:val="22"/>
          <w:szCs w:val="22"/>
        </w:rPr>
      </w:pPr>
      <w:r w:rsidRPr="00D6678E">
        <w:rPr>
          <w:sz w:val="22"/>
          <w:szCs w:val="22"/>
        </w:rPr>
        <w:t>Title:</w:t>
      </w:r>
      <w:r w:rsidR="00E90E49" w:rsidRPr="00D6678E">
        <w:rPr>
          <w:sz w:val="22"/>
          <w:szCs w:val="22"/>
        </w:rPr>
        <w:tab/>
      </w:r>
      <w:r w:rsidR="008D3C55" w:rsidRPr="00D6678E">
        <w:rPr>
          <w:sz w:val="22"/>
          <w:szCs w:val="22"/>
        </w:rPr>
        <w:t xml:space="preserve">Views on </w:t>
      </w:r>
      <w:r w:rsidR="00D6678E" w:rsidRPr="00D6678E">
        <w:rPr>
          <w:sz w:val="22"/>
          <w:szCs w:val="22"/>
        </w:rPr>
        <w:t>additional modelling components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D3C55">
        <w:rPr>
          <w:sz w:val="22"/>
          <w:szCs w:val="22"/>
        </w:rPr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A1BABED" w14:textId="604ED75E" w:rsidR="00F17AD2" w:rsidRDefault="00F17AD2" w:rsidP="00F17AD2">
      <w:pPr>
        <w:pStyle w:val="BodyText"/>
      </w:pPr>
      <w:r>
        <w:t>In the email discussions in the industrial channel model SI some proposals have been agreed for the additional mod</w:t>
      </w:r>
      <w:r w:rsidR="00860823">
        <w:t>e</w:t>
      </w:r>
      <w:r>
        <w:t>l</w:t>
      </w:r>
      <w:r w:rsidR="005225F5">
        <w:t>l</w:t>
      </w:r>
      <w:r>
        <w:t xml:space="preserve">ing components, see below. In this contribution, we provide some </w:t>
      </w:r>
      <w:r w:rsidR="00A85DEC">
        <w:t>input on further details of the additional modelling components</w:t>
      </w:r>
      <w:r>
        <w:t xml:space="preserve">. </w:t>
      </w:r>
    </w:p>
    <w:p w14:paraId="72F05C8E" w14:textId="77777777" w:rsidR="00F17AD2" w:rsidRDefault="00F17AD2" w:rsidP="00CE0424">
      <w:pPr>
        <w:pStyle w:val="BodyText"/>
      </w:pPr>
    </w:p>
    <w:p w14:paraId="13423D4E" w14:textId="1CF4B5D5" w:rsidR="00477768" w:rsidRDefault="009A6178" w:rsidP="00CE0424">
      <w:pPr>
        <w:pStyle w:val="BodyText"/>
      </w:pPr>
      <w:r>
        <w:t>Refer to email agreements</w:t>
      </w:r>
      <w:r w:rsidR="005B5A05">
        <w:t>. Propose blocking parameters</w:t>
      </w:r>
      <w:r w:rsidR="00EC3B6D">
        <w:t xml:space="preserve">. </w:t>
      </w:r>
      <w:proofErr w:type="spellStart"/>
      <w:r w:rsidR="00EC3B6D">
        <w:t>Delta_tau</w:t>
      </w:r>
      <w:proofErr w:type="spellEnd"/>
      <w:r w:rsidR="00EC3B6D">
        <w:t xml:space="preserve"> is stochastic</w:t>
      </w:r>
      <w:r w:rsidR="00894E8A">
        <w:t xml:space="preserve">, may depend on the excess path loss. </w:t>
      </w:r>
    </w:p>
    <w:p w14:paraId="04FCDF87" w14:textId="424883DE" w:rsidR="009B4F0C" w:rsidRDefault="00D5174D" w:rsidP="00CE0424">
      <w:pPr>
        <w:pStyle w:val="BodyText"/>
      </w:pPr>
      <w:r>
        <w:t xml:space="preserve">Agreed proposals in </w:t>
      </w:r>
      <w:r w:rsidR="0057224C">
        <w:t>[</w:t>
      </w:r>
      <w:r w:rsidR="0057224C" w:rsidRPr="0057224C">
        <w:t>FS_IIIOT_CM-02</w:t>
      </w:r>
      <w:r w:rsidR="0057224C">
        <w:t>]</w:t>
      </w:r>
      <w:r w:rsidR="005810E2">
        <w:t xml:space="preserve"> </w:t>
      </w:r>
      <w:r w:rsidR="005810E2">
        <w:fldChar w:fldCharType="begin"/>
      </w:r>
      <w:r w:rsidR="005810E2">
        <w:instrText xml:space="preserve"> REF _Ref4754439 \r \h </w:instrText>
      </w:r>
      <w:r w:rsidR="005810E2">
        <w:fldChar w:fldCharType="separate"/>
      </w:r>
      <w:r w:rsidR="00EB7892">
        <w:t>[1]</w:t>
      </w:r>
      <w:r w:rsidR="005810E2">
        <w:fldChar w:fldCharType="end"/>
      </w:r>
      <w:r w:rsidR="0057224C">
        <w:t>:</w:t>
      </w:r>
    </w:p>
    <w:p w14:paraId="5B00A1E0" w14:textId="77777777" w:rsidR="0057224C" w:rsidRDefault="0057224C" w:rsidP="00CE0424">
      <w:pPr>
        <w:pStyle w:val="BodyText"/>
      </w:pPr>
    </w:p>
    <w:p w14:paraId="74F46030" w14:textId="77777777" w:rsidR="009D6650" w:rsidRDefault="009D6650" w:rsidP="009D6650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>Proposal 1:</w:t>
      </w:r>
      <w:r>
        <w:rPr>
          <w:rFonts w:ascii="Arial" w:hAnsi="Arial" w:cs="Arial"/>
          <w:b/>
          <w:bCs/>
          <w:lang w:val="en-US" w:eastAsia="zh-CN"/>
        </w:rPr>
        <w:t xml:space="preserve"> Path loss, shadow fading, and LOS/NLOS modelling</w:t>
      </w:r>
    </w:p>
    <w:p w14:paraId="5E1B10BD" w14:textId="77777777" w:rsidR="009D6650" w:rsidRDefault="009D6650" w:rsidP="009D6650">
      <w:pPr>
        <w:ind w:left="56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highlight w:val="green"/>
          <w:lang w:val="en-US" w:eastAsia="zh-CN"/>
        </w:rPr>
        <w:t>Option 1:</w:t>
      </w:r>
      <w:r>
        <w:rPr>
          <w:rFonts w:ascii="Arial" w:hAnsi="Arial" w:cs="Arial"/>
          <w:lang w:val="en-US" w:eastAsia="zh-CN"/>
        </w:rPr>
        <w:t xml:space="preserve"> LOS state is stochastically determined using a LOS probability function dependent on distance, [</w:t>
      </w:r>
      <w:proofErr w:type="spellStart"/>
      <w:r>
        <w:rPr>
          <w:rFonts w:ascii="Arial" w:hAnsi="Arial" w:cs="Arial"/>
          <w:lang w:val="en-US" w:eastAsia="zh-CN"/>
        </w:rPr>
        <w:t>tx</w:t>
      </w:r>
      <w:proofErr w:type="spellEnd"/>
      <w:r>
        <w:rPr>
          <w:rFonts w:ascii="Arial" w:hAnsi="Arial" w:cs="Arial"/>
          <w:lang w:val="en-US" w:eastAsia="zh-CN"/>
        </w:rPr>
        <w:t xml:space="preserve"> and </w:t>
      </w:r>
      <w:proofErr w:type="spellStart"/>
      <w:r>
        <w:rPr>
          <w:rFonts w:ascii="Arial" w:hAnsi="Arial" w:cs="Arial"/>
          <w:lang w:val="en-US" w:eastAsia="zh-CN"/>
        </w:rPr>
        <w:t>rx</w:t>
      </w:r>
      <w:proofErr w:type="spellEnd"/>
      <w:r>
        <w:rPr>
          <w:rFonts w:ascii="Arial" w:hAnsi="Arial" w:cs="Arial"/>
          <w:lang w:val="en-US" w:eastAsia="zh-CN"/>
        </w:rPr>
        <w:t xml:space="preserve"> height, clutter height, clutter density, subarea, time, …]. </w:t>
      </w:r>
    </w:p>
    <w:p w14:paraId="4F5E13E0" w14:textId="77777777" w:rsidR="009D6650" w:rsidRDefault="009D6650" w:rsidP="009D6650">
      <w:pPr>
        <w:numPr>
          <w:ilvl w:val="0"/>
          <w:numId w:val="23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Separate path loss and shadow fading models are used for LOS and NLOS</w:t>
      </w:r>
    </w:p>
    <w:p w14:paraId="672D63D2" w14:textId="77777777" w:rsidR="009D6650" w:rsidRDefault="009D6650" w:rsidP="009D6650">
      <w:pPr>
        <w:numPr>
          <w:ilvl w:val="0"/>
          <w:numId w:val="23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correlation of LOS probability for different links TBD</w:t>
      </w:r>
    </w:p>
    <w:p w14:paraId="535B5B43" w14:textId="77777777" w:rsidR="009D6650" w:rsidRDefault="009D6650" w:rsidP="009D6650">
      <w:pPr>
        <w:numPr>
          <w:ilvl w:val="0"/>
          <w:numId w:val="23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Spatial consistent transitions between LOS and NLOS states to be further studied</w:t>
      </w:r>
    </w:p>
    <w:p w14:paraId="72C8E95C" w14:textId="77777777" w:rsidR="009D6650" w:rsidRDefault="009D6650" w:rsidP="009D6650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</w:p>
    <w:p w14:paraId="20AD6E54" w14:textId="77777777" w:rsidR="009D6650" w:rsidRDefault="009D6650" w:rsidP="009D6650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>Proposal 2:</w:t>
      </w:r>
      <w:r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 xml:space="preserve"> Absolute time of arrival of multipath components in LOS and NLOS is added as an additional modeling component</w:t>
      </w:r>
    </w:p>
    <w:p w14:paraId="386E4264" w14:textId="77777777" w:rsidR="009D6650" w:rsidRDefault="009D6650" w:rsidP="009D6650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</w:p>
    <w:p w14:paraId="78F5C0CE" w14:textId="77777777" w:rsidR="009D6650" w:rsidRDefault="009D6650" w:rsidP="009D6650">
      <w:pPr>
        <w:pStyle w:val="ListParagraph"/>
        <w:ind w:left="567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Note: This modeling component is provided to support simulations in which absolute time of arrival is important (e.g.,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zh-CN"/>
        </w:rPr>
        <w:t>ToA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positioning)</w:t>
      </w:r>
    </w:p>
    <w:p w14:paraId="06F28DCF" w14:textId="77777777" w:rsidR="009D6650" w:rsidRDefault="009D6650" w:rsidP="009D6650">
      <w:pPr>
        <w:pStyle w:val="ListParagraph"/>
        <w:rPr>
          <w:rFonts w:ascii="Arial" w:hAnsi="Arial" w:cs="Arial"/>
          <w:lang w:val="en-US" w:eastAsia="zh-CN"/>
        </w:rPr>
      </w:pPr>
    </w:p>
    <w:p w14:paraId="2236F220" w14:textId="77777777" w:rsidR="009D6650" w:rsidRDefault="009D6650" w:rsidP="009D6650">
      <w:pPr>
        <w:rPr>
          <w:rFonts w:ascii="Arial" w:hAnsi="Arial" w:cs="Arial"/>
          <w:b/>
          <w:bCs/>
          <w:highlight w:val="green"/>
          <w:lang w:val="en-US" w:eastAsia="zh-CN"/>
        </w:rPr>
      </w:pPr>
    </w:p>
    <w:p w14:paraId="30F38ABF" w14:textId="77777777" w:rsidR="009D6650" w:rsidRDefault="009D6650" w:rsidP="009D6650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>Proposal 3:</w:t>
      </w:r>
      <w:r>
        <w:rPr>
          <w:rFonts w:ascii="Arial" w:hAnsi="Arial" w:cs="Arial"/>
          <w:b/>
          <w:bCs/>
          <w:lang w:val="en-US" w:eastAsia="zh-CN"/>
        </w:rPr>
        <w:t xml:space="preserve"> Doppler due to moving clutter or dual mobility is added as an optional feature in the model</w:t>
      </w:r>
    </w:p>
    <w:p w14:paraId="0A1E820E" w14:textId="77777777" w:rsidR="009D6650" w:rsidRDefault="009D6650" w:rsidP="009D6650">
      <w:pPr>
        <w:ind w:firstLine="567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Note: the channel coefficient equations will need to be updated for these cases</w:t>
      </w:r>
    </w:p>
    <w:p w14:paraId="5725FB24" w14:textId="2148BC52" w:rsidR="009B4F0C" w:rsidRDefault="009B4F0C" w:rsidP="00CE0424">
      <w:pPr>
        <w:pStyle w:val="BodyText"/>
        <w:rPr>
          <w:lang w:val="en-US"/>
        </w:rPr>
      </w:pPr>
    </w:p>
    <w:p w14:paraId="7E6D57B9" w14:textId="77777777" w:rsidR="00D5174D" w:rsidRPr="009D6650" w:rsidRDefault="00D5174D" w:rsidP="00CE0424">
      <w:pPr>
        <w:pStyle w:val="BodyText"/>
        <w:rPr>
          <w:lang w:val="en-US"/>
        </w:rPr>
      </w:pPr>
    </w:p>
    <w:p w14:paraId="757C7C92" w14:textId="21A748DB" w:rsidR="009A6178" w:rsidRDefault="00D5174D" w:rsidP="00CE0424">
      <w:pPr>
        <w:pStyle w:val="BodyText"/>
      </w:pPr>
      <w:r>
        <w:t>Agreed proposals in</w:t>
      </w:r>
      <w:r w:rsidRPr="00846639">
        <w:t xml:space="preserve"> </w:t>
      </w:r>
      <w:r w:rsidR="00846639" w:rsidRPr="00846639">
        <w:t>[FS_IIIOT_CM-09]</w:t>
      </w:r>
      <w:r>
        <w:t xml:space="preserve"> </w:t>
      </w:r>
      <w:r>
        <w:fldChar w:fldCharType="begin"/>
      </w:r>
      <w:r>
        <w:instrText xml:space="preserve"> REF _Ref4754457 \r \h </w:instrText>
      </w:r>
      <w:r>
        <w:fldChar w:fldCharType="separate"/>
      </w:r>
      <w:r w:rsidR="00EB7892">
        <w:t>[2]</w:t>
      </w:r>
      <w:r>
        <w:fldChar w:fldCharType="end"/>
      </w:r>
      <w:r w:rsidR="00846639">
        <w:t>:</w:t>
      </w:r>
    </w:p>
    <w:p w14:paraId="2C2EEE7D" w14:textId="55B6D1CD" w:rsidR="00846639" w:rsidRDefault="00846639" w:rsidP="00CE0424">
      <w:pPr>
        <w:pStyle w:val="BodyText"/>
      </w:pPr>
    </w:p>
    <w:p w14:paraId="08EF7D02" w14:textId="77777777" w:rsidR="007F5A10" w:rsidRDefault="007F5A10" w:rsidP="007F5A10">
      <w:pPr>
        <w:pStyle w:val="BodyText"/>
        <w:rPr>
          <w:b/>
        </w:rPr>
      </w:pPr>
      <w:r>
        <w:rPr>
          <w:b/>
          <w:highlight w:val="green"/>
        </w:rPr>
        <w:t>Proposal 1:</w:t>
      </w:r>
      <w:r>
        <w:rPr>
          <w:b/>
        </w:rPr>
        <w:t xml:space="preserve"> The blocking model in 38.901 may be adapted for industrial scenarios</w:t>
      </w:r>
    </w:p>
    <w:p w14:paraId="669B7530" w14:textId="77777777" w:rsidR="007F5A10" w:rsidRDefault="007F5A10" w:rsidP="007F5A10">
      <w:pPr>
        <w:pStyle w:val="BodyText"/>
        <w:numPr>
          <w:ilvl w:val="0"/>
          <w:numId w:val="24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lastRenderedPageBreak/>
        <w:t>Derive new model parameters for Blocking models A and B to represent industrial objects (AGVs, robots)</w:t>
      </w:r>
    </w:p>
    <w:p w14:paraId="74EBACDE" w14:textId="77777777" w:rsidR="007F5A10" w:rsidRDefault="007F5A10" w:rsidP="007F5A10">
      <w:pPr>
        <w:pStyle w:val="BodyText"/>
        <w:numPr>
          <w:ilvl w:val="1"/>
          <w:numId w:val="24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Companies are encouraged to provide parameters</w:t>
      </w:r>
    </w:p>
    <w:p w14:paraId="1053B936" w14:textId="77777777" w:rsidR="007F5A10" w:rsidRDefault="007F5A10" w:rsidP="007F5A10">
      <w:pPr>
        <w:pStyle w:val="BodyText"/>
        <w:numPr>
          <w:ilvl w:val="1"/>
          <w:numId w:val="24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The resulting blocking loss should be checked against measurements</w:t>
      </w:r>
    </w:p>
    <w:p w14:paraId="76F50A21" w14:textId="77777777" w:rsidR="007F5A10" w:rsidRDefault="007F5A10" w:rsidP="007F5A10">
      <w:pPr>
        <w:pStyle w:val="BodyText"/>
        <w:numPr>
          <w:ilvl w:val="1"/>
          <w:numId w:val="24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 xml:space="preserve">FFS to understand the combination of shadow fading and blocking model </w:t>
      </w:r>
    </w:p>
    <w:p w14:paraId="31929910" w14:textId="77777777" w:rsidR="007F5A10" w:rsidRDefault="007F5A10" w:rsidP="007F5A10">
      <w:pPr>
        <w:pStyle w:val="BodyText"/>
        <w:rPr>
          <w:b/>
        </w:rPr>
      </w:pPr>
    </w:p>
    <w:p w14:paraId="6006C511" w14:textId="77777777" w:rsidR="007F5A10" w:rsidRDefault="007F5A10" w:rsidP="007F5A10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2:</w:t>
      </w:r>
      <w:r>
        <w:rPr>
          <w:b/>
          <w:lang w:val="en-US"/>
        </w:rPr>
        <w:t xml:space="preserve"> Add an additional delay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for absolute time of arrival modeling</w:t>
      </w:r>
    </w:p>
    <w:p w14:paraId="7EC2F73C" w14:textId="77777777" w:rsidR="007F5A10" w:rsidRDefault="007F5A10" w:rsidP="007F5A10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In LOS,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= d</w:t>
      </w:r>
      <w:r>
        <w:rPr>
          <w:b/>
          <w:vertAlign w:val="subscript"/>
          <w:lang w:val="en-US"/>
        </w:rPr>
        <w:t>3D</w:t>
      </w:r>
      <w:r>
        <w:rPr>
          <w:b/>
          <w:lang w:val="en-US"/>
        </w:rPr>
        <w:t>/c</w:t>
      </w:r>
    </w:p>
    <w:p w14:paraId="1893C5BD" w14:textId="77777777" w:rsidR="007F5A10" w:rsidRDefault="007F5A10" w:rsidP="007F5A10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In NLOS,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= d</w:t>
      </w:r>
      <w:r>
        <w:rPr>
          <w:b/>
          <w:vertAlign w:val="subscript"/>
          <w:lang w:val="en-US"/>
        </w:rPr>
        <w:t>3D</w:t>
      </w:r>
      <w:r>
        <w:rPr>
          <w:b/>
          <w:lang w:val="en-US"/>
        </w:rPr>
        <w:t xml:space="preserve">/c + </w:t>
      </w:r>
      <w:r>
        <w:rPr>
          <w:rFonts w:ascii="Symbol" w:hAnsi="Symbol"/>
          <w:b/>
          <w:lang w:val="en-US"/>
        </w:rPr>
        <w:t></w:t>
      </w:r>
      <w:r>
        <w:rPr>
          <w:rFonts w:ascii="Symbol" w:hAnsi="Symbol"/>
          <w:b/>
          <w:lang w:val="en-US"/>
        </w:rPr>
        <w:t></w:t>
      </w:r>
      <w:r>
        <w:rPr>
          <w:b/>
          <w:lang w:val="en-US"/>
        </w:rPr>
        <w:t xml:space="preserve"> </w:t>
      </w:r>
    </w:p>
    <w:p w14:paraId="7815B0C2" w14:textId="77777777" w:rsidR="007F5A10" w:rsidRDefault="007F5A10" w:rsidP="007F5A10">
      <w:pPr>
        <w:pStyle w:val="BodyText"/>
        <w:numPr>
          <w:ilvl w:val="1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FFS on how to model </w:t>
      </w:r>
      <w:r>
        <w:rPr>
          <w:rFonts w:ascii="Symbol" w:hAnsi="Symbol"/>
          <w:b/>
          <w:lang w:val="en-US"/>
        </w:rPr>
        <w:t></w:t>
      </w:r>
      <w:r>
        <w:rPr>
          <w:rFonts w:ascii="Symbol" w:hAnsi="Symbol"/>
          <w:b/>
          <w:lang w:val="en-US"/>
        </w:rPr>
        <w:t></w:t>
      </w:r>
      <w:r>
        <w:rPr>
          <w:b/>
          <w:lang w:val="en-US"/>
        </w:rPr>
        <w:t>, e.g. by random or deterministic procedure</w:t>
      </w:r>
    </w:p>
    <w:p w14:paraId="732AFF28" w14:textId="77777777" w:rsidR="007F5A10" w:rsidRDefault="007F5A10" w:rsidP="007F5A10">
      <w:pPr>
        <w:pStyle w:val="BodyText"/>
        <w:rPr>
          <w:b/>
          <w:lang w:val="en-US"/>
        </w:rPr>
      </w:pPr>
    </w:p>
    <w:p w14:paraId="538B84F6" w14:textId="77777777" w:rsidR="007F5A10" w:rsidRDefault="007F5A10" w:rsidP="007F5A10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3:</w:t>
      </w:r>
      <w:r>
        <w:rPr>
          <w:b/>
          <w:lang w:val="en-US"/>
        </w:rPr>
        <w:t xml:space="preserve"> Adapt the dual mobility modeling of 37.885 for industrial scenarios, details FFS</w:t>
      </w:r>
    </w:p>
    <w:p w14:paraId="2A78ACB5" w14:textId="77777777" w:rsidR="007F5A10" w:rsidRDefault="007F5A10" w:rsidP="007F5A10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Note: Random Doppler of moving </w:t>
      </w:r>
      <w:proofErr w:type="spellStart"/>
      <w:r>
        <w:rPr>
          <w:b/>
          <w:lang w:val="en-US"/>
        </w:rPr>
        <w:t>scatterers</w:t>
      </w:r>
      <w:proofErr w:type="spellEnd"/>
      <w:r>
        <w:rPr>
          <w:b/>
          <w:lang w:val="en-US"/>
        </w:rPr>
        <w:t xml:space="preserve"> may be different in the industrial scenario than in V2x</w:t>
      </w:r>
    </w:p>
    <w:p w14:paraId="72865F56" w14:textId="77777777" w:rsidR="007F5A10" w:rsidRDefault="007F5A10" w:rsidP="007F5A10">
      <w:pPr>
        <w:pStyle w:val="BodyText"/>
        <w:ind w:left="720"/>
        <w:rPr>
          <w:b/>
          <w:lang w:val="en-US"/>
        </w:rPr>
      </w:pPr>
    </w:p>
    <w:p w14:paraId="2804604D" w14:textId="77777777" w:rsidR="007F5A10" w:rsidRDefault="007F5A10" w:rsidP="007F5A10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4:</w:t>
      </w:r>
      <w:r>
        <w:rPr>
          <w:b/>
          <w:lang w:val="en-US"/>
        </w:rPr>
        <w:t xml:space="preserve"> Model the channel between the EM interferer and BS or UE using the same channel model as for the BS-UE links</w:t>
      </w:r>
    </w:p>
    <w:p w14:paraId="4AEF3FC4" w14:textId="77777777" w:rsidR="007F5A10" w:rsidRDefault="007F5A10" w:rsidP="007F5A10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Note: The interfering equipment may not necessarily be a point source</w:t>
      </w:r>
    </w:p>
    <w:p w14:paraId="576E1B38" w14:textId="77777777" w:rsidR="007F5A10" w:rsidRDefault="007F5A10" w:rsidP="007F5A10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Note: Characterization of the EM interference source is out of the scope of the present SI, and other groups (e.g. RAN4) may be more competent to handle such work</w:t>
      </w:r>
    </w:p>
    <w:p w14:paraId="36170517" w14:textId="77777777" w:rsidR="007F5A10" w:rsidRDefault="007F5A10" w:rsidP="007F5A10">
      <w:pPr>
        <w:rPr>
          <w:lang w:val="en-US"/>
        </w:rPr>
      </w:pPr>
    </w:p>
    <w:p w14:paraId="2C2B23B7" w14:textId="77777777" w:rsidR="007F5A10" w:rsidRDefault="007F5A10" w:rsidP="007F5A10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5:</w:t>
      </w:r>
      <w:r>
        <w:rPr>
          <w:b/>
          <w:lang w:val="en-US"/>
        </w:rPr>
        <w:t xml:space="preserve"> Revisit spatial consistency procedures when the fast fading model is stable</w:t>
      </w:r>
    </w:p>
    <w:p w14:paraId="619B781E" w14:textId="77777777" w:rsidR="007F5A10" w:rsidRPr="007F5A10" w:rsidRDefault="007F5A10" w:rsidP="00CE0424">
      <w:pPr>
        <w:pStyle w:val="BodyText"/>
        <w:rPr>
          <w:lang w:val="en-US"/>
        </w:rPr>
      </w:pPr>
    </w:p>
    <w:p w14:paraId="108BCF7C" w14:textId="5EA37993" w:rsidR="00713CED" w:rsidRDefault="00713CED" w:rsidP="00CE0424">
      <w:pPr>
        <w:pStyle w:val="BodyText"/>
      </w:pPr>
    </w:p>
    <w:p w14:paraId="407BD8B7" w14:textId="77777777" w:rsidR="00713CED" w:rsidRPr="00CE0424" w:rsidRDefault="00713CED" w:rsidP="00CE0424">
      <w:pPr>
        <w:pStyle w:val="BodyText"/>
      </w:pPr>
    </w:p>
    <w:p w14:paraId="6F368817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A0FC162" w14:textId="6202AC33" w:rsidR="00F63950" w:rsidRDefault="00230D18" w:rsidP="00F63950">
      <w:pPr>
        <w:pStyle w:val="Heading2"/>
      </w:pPr>
      <w:r>
        <w:t>2.1</w:t>
      </w:r>
      <w:r>
        <w:tab/>
      </w:r>
      <w:r w:rsidR="00F63950">
        <w:t>B</w:t>
      </w:r>
      <w:r w:rsidR="00BE7EA2">
        <w:t>locking</w:t>
      </w:r>
    </w:p>
    <w:p w14:paraId="21019B59" w14:textId="33B186DD" w:rsidR="0049279F" w:rsidRDefault="00932020" w:rsidP="00CE0424">
      <w:pPr>
        <w:pStyle w:val="BodyText"/>
      </w:pPr>
      <w:r>
        <w:t xml:space="preserve">Modelling of blocking is currently an optional feature in TR 38.901. We believe that </w:t>
      </w:r>
      <w:r w:rsidR="00F90CF7">
        <w:t xml:space="preserve">for general simulation usage it need not be enabled, only for specific studies where e.g. the </w:t>
      </w:r>
      <w:r w:rsidR="002425FA">
        <w:t xml:space="preserve">robustness of various radio link algorithms against </w:t>
      </w:r>
      <w:r w:rsidR="00121B5B">
        <w:t>rapid but intermittent changes in the channel such as due to transition</w:t>
      </w:r>
      <w:r w:rsidR="0030556A">
        <w:t>s</w:t>
      </w:r>
      <w:r w:rsidR="00121B5B">
        <w:t xml:space="preserve"> between a non-blocked and a blocked state. </w:t>
      </w:r>
      <w:r w:rsidR="0049279F">
        <w:t xml:space="preserve">Hence, we don’t believe there is a general need to adjust the shadow fading to avoid “double-counting” the loss. </w:t>
      </w:r>
      <w:r w:rsidR="003B087B">
        <w:t xml:space="preserve">For simulations cases where blocking is enabled it </w:t>
      </w:r>
    </w:p>
    <w:p w14:paraId="1EAF3C2F" w14:textId="16291ECB" w:rsidR="00FF3D2A" w:rsidRDefault="0030556A" w:rsidP="00CE0424">
      <w:pPr>
        <w:pStyle w:val="BodyText"/>
      </w:pPr>
      <w:r>
        <w:t xml:space="preserve">Blocking model B in 38.901 </w:t>
      </w:r>
      <w:r w:rsidR="005E592D">
        <w:t xml:space="preserve">inherently captures </w:t>
      </w:r>
      <w:r w:rsidR="00646BD8">
        <w:t xml:space="preserve">the dynamic transition </w:t>
      </w:r>
      <w:r w:rsidR="005E592D">
        <w:t>behaviour including any correlations between different links or beams</w:t>
      </w:r>
      <w:r w:rsidR="009A7EE2">
        <w:t xml:space="preserve"> by its physical and geometrical description of the blocker and its impact on the radio channel. </w:t>
      </w:r>
      <w:r w:rsidR="00646BD8">
        <w:t>This model is parameterized solely through the sizes and positions of the blockers</w:t>
      </w:r>
      <w:r w:rsidR="00E843B7">
        <w:t xml:space="preserve">, compare </w:t>
      </w:r>
      <w:r w:rsidR="001B36DE">
        <w:t xml:space="preserve">Table </w:t>
      </w:r>
      <w:r w:rsidR="00DA03C0">
        <w:t xml:space="preserve">7.6.4.2-5 in TR 38.901. In the indoor industrial scenario, we propose to </w:t>
      </w:r>
      <w:r w:rsidR="00CE604B">
        <w:t xml:space="preserve">reuse the recommendation for a human blocker </w:t>
      </w:r>
      <w:proofErr w:type="gramStart"/>
      <w:r w:rsidR="00CE604B">
        <w:t>and also</w:t>
      </w:r>
      <w:proofErr w:type="gramEnd"/>
      <w:r w:rsidR="00CE604B">
        <w:t xml:space="preserve"> </w:t>
      </w:r>
      <w:r w:rsidR="00DA03C0">
        <w:t>add two more types of blockers</w:t>
      </w:r>
      <w:r w:rsidR="001F57FE">
        <w:t xml:space="preserve">: AGVs and robotic arms. </w:t>
      </w:r>
      <w:r w:rsidR="00641EC2">
        <w:t>As t</w:t>
      </w:r>
      <w:r w:rsidR="00A20DBB">
        <w:t>here are many types of AGVs and industrial robots</w:t>
      </w:r>
      <w:r w:rsidR="00641EC2">
        <w:t xml:space="preserve"> the exact dimensions and mobility patterns could be further discussed. </w:t>
      </w:r>
    </w:p>
    <w:p w14:paraId="764CE98A" w14:textId="4512F772" w:rsidR="00641EC2" w:rsidRPr="00A04F49" w:rsidRDefault="00217F40" w:rsidP="00641EC2">
      <w:pPr>
        <w:pStyle w:val="Proposal"/>
      </w:pPr>
      <w:bookmarkStart w:id="2" w:name="_Toc4770010"/>
      <w:r>
        <w:t xml:space="preserve">For the industrial scenario, consider the following types of blockers with Blocking model B: humans, </w:t>
      </w:r>
      <w:r w:rsidR="000765BC">
        <w:t>AGVs and robotic arms.</w:t>
      </w:r>
      <w:bookmarkEnd w:id="2"/>
      <w:r w:rsidR="000765B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2157"/>
        <w:gridCol w:w="2428"/>
        <w:gridCol w:w="2478"/>
      </w:tblGrid>
      <w:tr w:rsidR="00431097" w:rsidRPr="00147F39" w14:paraId="7510BD5E" w14:textId="77777777" w:rsidTr="00EC6396">
        <w:trPr>
          <w:jc w:val="center"/>
        </w:trPr>
        <w:tc>
          <w:tcPr>
            <w:tcW w:w="0" w:type="auto"/>
            <w:shd w:val="clear" w:color="auto" w:fill="FFFFFF"/>
          </w:tcPr>
          <w:p w14:paraId="289C46D6" w14:textId="77777777" w:rsidR="00431097" w:rsidRPr="00147F39" w:rsidRDefault="00431097" w:rsidP="00EC6396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D9D9D9"/>
          </w:tcPr>
          <w:p w14:paraId="0E564594" w14:textId="77777777" w:rsidR="00431097" w:rsidRPr="00147F39" w:rsidRDefault="00431097" w:rsidP="00EC6396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Typical set of blockers</w:t>
            </w:r>
          </w:p>
        </w:tc>
        <w:tc>
          <w:tcPr>
            <w:tcW w:w="0" w:type="auto"/>
            <w:shd w:val="clear" w:color="auto" w:fill="D9D9D9"/>
          </w:tcPr>
          <w:p w14:paraId="1EB7FD55" w14:textId="77777777" w:rsidR="00431097" w:rsidRPr="00147F39" w:rsidRDefault="00431097" w:rsidP="00EC6396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Blocker dimensions</w:t>
            </w:r>
          </w:p>
        </w:tc>
        <w:tc>
          <w:tcPr>
            <w:tcW w:w="0" w:type="auto"/>
            <w:shd w:val="clear" w:color="auto" w:fill="D9D9D9"/>
          </w:tcPr>
          <w:p w14:paraId="137E730F" w14:textId="77777777" w:rsidR="00431097" w:rsidRPr="00147F39" w:rsidRDefault="00431097" w:rsidP="00EC6396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Mobility pattern</w:t>
            </w:r>
          </w:p>
        </w:tc>
      </w:tr>
      <w:tr w:rsidR="00431097" w:rsidRPr="00147F39" w14:paraId="14D8271D" w14:textId="77777777" w:rsidTr="00EC6396">
        <w:trPr>
          <w:jc w:val="center"/>
        </w:trPr>
        <w:tc>
          <w:tcPr>
            <w:tcW w:w="0" w:type="auto"/>
            <w:shd w:val="clear" w:color="auto" w:fill="auto"/>
          </w:tcPr>
          <w:p w14:paraId="1E3DC4D3" w14:textId="43B3504F" w:rsidR="00431097" w:rsidRPr="00431097" w:rsidRDefault="00431097" w:rsidP="00EC6396">
            <w:pPr>
              <w:pStyle w:val="TAH"/>
              <w:rPr>
                <w:lang w:val="sv-SE" w:eastAsia="zh-CN"/>
              </w:rPr>
            </w:pPr>
            <w:r w:rsidRPr="00147F39">
              <w:rPr>
                <w:lang w:eastAsia="zh-CN"/>
              </w:rPr>
              <w:t>Indoor; Outdoor</w:t>
            </w:r>
            <w:r>
              <w:rPr>
                <w:lang w:val="sv-SE" w:eastAsia="zh-CN"/>
              </w:rPr>
              <w:t>; Industrial</w:t>
            </w:r>
          </w:p>
        </w:tc>
        <w:tc>
          <w:tcPr>
            <w:tcW w:w="0" w:type="auto"/>
            <w:shd w:val="clear" w:color="auto" w:fill="auto"/>
          </w:tcPr>
          <w:p w14:paraId="42B487ED" w14:textId="77777777" w:rsidR="00431097" w:rsidRPr="00147F39" w:rsidRDefault="00431097" w:rsidP="00EC6396">
            <w:pPr>
              <w:pStyle w:val="TAC"/>
              <w:rPr>
                <w:lang w:eastAsia="zh-CN"/>
              </w:rPr>
            </w:pPr>
            <w:r w:rsidRPr="00147F39">
              <w:rPr>
                <w:lang w:eastAsia="zh-CN"/>
              </w:rPr>
              <w:t>Human</w:t>
            </w:r>
          </w:p>
        </w:tc>
        <w:tc>
          <w:tcPr>
            <w:tcW w:w="0" w:type="auto"/>
            <w:shd w:val="clear" w:color="auto" w:fill="auto"/>
          </w:tcPr>
          <w:p w14:paraId="22CF6E8F" w14:textId="77777777" w:rsidR="00431097" w:rsidRPr="00147F39" w:rsidRDefault="00431097" w:rsidP="00EC6396">
            <w:pPr>
              <w:pStyle w:val="TAC"/>
              <w:rPr>
                <w:lang w:eastAsia="zh-CN"/>
              </w:rPr>
            </w:pPr>
            <w:r w:rsidRPr="00147F39">
              <w:rPr>
                <w:lang w:eastAsia="zh-CN"/>
              </w:rPr>
              <w:t>Cartesian: w=0.3m; h=1.7m</w:t>
            </w:r>
          </w:p>
        </w:tc>
        <w:tc>
          <w:tcPr>
            <w:tcW w:w="0" w:type="auto"/>
            <w:shd w:val="clear" w:color="auto" w:fill="auto"/>
          </w:tcPr>
          <w:p w14:paraId="0AD1272A" w14:textId="77777777" w:rsidR="00431097" w:rsidRPr="00147F39" w:rsidRDefault="00431097" w:rsidP="00EC6396">
            <w:pPr>
              <w:pStyle w:val="TAC"/>
              <w:rPr>
                <w:lang w:eastAsia="zh-CN"/>
              </w:rPr>
            </w:pPr>
            <w:r w:rsidRPr="00147F39">
              <w:rPr>
                <w:lang w:eastAsia="zh-CN"/>
              </w:rPr>
              <w:t>Stationary or up to 3 km/h</w:t>
            </w:r>
          </w:p>
        </w:tc>
      </w:tr>
      <w:tr w:rsidR="00431097" w:rsidRPr="00147F39" w14:paraId="1BED8254" w14:textId="77777777" w:rsidTr="00EC6396">
        <w:trPr>
          <w:jc w:val="center"/>
        </w:trPr>
        <w:tc>
          <w:tcPr>
            <w:tcW w:w="0" w:type="auto"/>
            <w:shd w:val="clear" w:color="auto" w:fill="auto"/>
          </w:tcPr>
          <w:p w14:paraId="4361477F" w14:textId="77777777" w:rsidR="00431097" w:rsidRPr="00147F39" w:rsidRDefault="00431097" w:rsidP="00EC6396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Outdoor</w:t>
            </w:r>
          </w:p>
        </w:tc>
        <w:tc>
          <w:tcPr>
            <w:tcW w:w="0" w:type="auto"/>
            <w:shd w:val="clear" w:color="auto" w:fill="auto"/>
          </w:tcPr>
          <w:p w14:paraId="0600A350" w14:textId="77777777" w:rsidR="00431097" w:rsidRPr="00147F39" w:rsidRDefault="00431097" w:rsidP="00EC6396">
            <w:pPr>
              <w:pStyle w:val="TAC"/>
              <w:rPr>
                <w:lang w:eastAsia="zh-CN"/>
              </w:rPr>
            </w:pPr>
            <w:r w:rsidRPr="00147F39">
              <w:rPr>
                <w:lang w:eastAsia="zh-CN"/>
              </w:rPr>
              <w:t>Vehicle</w:t>
            </w:r>
          </w:p>
        </w:tc>
        <w:tc>
          <w:tcPr>
            <w:tcW w:w="0" w:type="auto"/>
            <w:shd w:val="clear" w:color="auto" w:fill="auto"/>
          </w:tcPr>
          <w:p w14:paraId="6185F52C" w14:textId="77777777" w:rsidR="00431097" w:rsidRPr="00147F39" w:rsidRDefault="00431097" w:rsidP="00EC6396">
            <w:pPr>
              <w:pStyle w:val="TAC"/>
              <w:rPr>
                <w:lang w:eastAsia="zh-CN"/>
              </w:rPr>
            </w:pPr>
            <w:r w:rsidRPr="00147F39">
              <w:rPr>
                <w:lang w:eastAsia="zh-CN"/>
              </w:rPr>
              <w:t>Cartesian: w=4.8m; h=1.4m</w:t>
            </w:r>
          </w:p>
        </w:tc>
        <w:tc>
          <w:tcPr>
            <w:tcW w:w="0" w:type="auto"/>
            <w:shd w:val="clear" w:color="auto" w:fill="auto"/>
          </w:tcPr>
          <w:p w14:paraId="6B1B9344" w14:textId="77777777" w:rsidR="00431097" w:rsidRPr="00147F39" w:rsidRDefault="00431097" w:rsidP="00EC6396">
            <w:pPr>
              <w:pStyle w:val="TAC"/>
              <w:rPr>
                <w:lang w:eastAsia="zh-CN"/>
              </w:rPr>
            </w:pPr>
            <w:r w:rsidRPr="00147F39">
              <w:rPr>
                <w:lang w:eastAsia="zh-CN"/>
              </w:rPr>
              <w:t>Stationary or up to 100 km/h</w:t>
            </w:r>
          </w:p>
        </w:tc>
      </w:tr>
      <w:tr w:rsidR="00431097" w:rsidRPr="00147F39" w14:paraId="54C067DD" w14:textId="77777777" w:rsidTr="00EC6396">
        <w:trPr>
          <w:jc w:val="center"/>
        </w:trPr>
        <w:tc>
          <w:tcPr>
            <w:tcW w:w="0" w:type="auto"/>
            <w:shd w:val="clear" w:color="auto" w:fill="auto"/>
          </w:tcPr>
          <w:p w14:paraId="5457644D" w14:textId="79FDCCFE" w:rsidR="00431097" w:rsidRPr="00431097" w:rsidRDefault="00431097" w:rsidP="00EC6396">
            <w:pPr>
              <w:pStyle w:val="TAH"/>
              <w:rPr>
                <w:lang w:val="sv-SE" w:eastAsia="zh-CN"/>
              </w:rPr>
            </w:pPr>
            <w:r>
              <w:rPr>
                <w:lang w:val="sv-SE" w:eastAsia="zh-CN"/>
              </w:rPr>
              <w:t>Industrial</w:t>
            </w:r>
          </w:p>
        </w:tc>
        <w:tc>
          <w:tcPr>
            <w:tcW w:w="0" w:type="auto"/>
            <w:shd w:val="clear" w:color="auto" w:fill="auto"/>
          </w:tcPr>
          <w:p w14:paraId="37AFCB72" w14:textId="64838E2C" w:rsidR="00431097" w:rsidRPr="00431097" w:rsidRDefault="00431097" w:rsidP="00EC6396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AGV</w:t>
            </w:r>
          </w:p>
        </w:tc>
        <w:tc>
          <w:tcPr>
            <w:tcW w:w="0" w:type="auto"/>
            <w:shd w:val="clear" w:color="auto" w:fill="auto"/>
          </w:tcPr>
          <w:p w14:paraId="6E1C9659" w14:textId="4E3079BA" w:rsidR="00431097" w:rsidRPr="00CE604B" w:rsidRDefault="00CE604B" w:rsidP="00EC6396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59C0CE8A" w14:textId="5E4C84AF" w:rsidR="00431097" w:rsidRPr="00CE604B" w:rsidRDefault="00CE604B" w:rsidP="00EC6396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</w:tr>
      <w:tr w:rsidR="00431097" w:rsidRPr="00147F39" w14:paraId="21FDCBA2" w14:textId="77777777" w:rsidTr="00EC6396">
        <w:trPr>
          <w:jc w:val="center"/>
        </w:trPr>
        <w:tc>
          <w:tcPr>
            <w:tcW w:w="0" w:type="auto"/>
            <w:shd w:val="clear" w:color="auto" w:fill="auto"/>
          </w:tcPr>
          <w:p w14:paraId="71E163D7" w14:textId="0B89824F" w:rsidR="00431097" w:rsidRDefault="00CE604B" w:rsidP="00EC6396">
            <w:pPr>
              <w:pStyle w:val="TAH"/>
              <w:rPr>
                <w:lang w:val="sv-SE" w:eastAsia="zh-CN"/>
              </w:rPr>
            </w:pPr>
            <w:r>
              <w:rPr>
                <w:lang w:val="sv-SE" w:eastAsia="zh-CN"/>
              </w:rPr>
              <w:t>Industrial</w:t>
            </w:r>
          </w:p>
        </w:tc>
        <w:tc>
          <w:tcPr>
            <w:tcW w:w="0" w:type="auto"/>
            <w:shd w:val="clear" w:color="auto" w:fill="auto"/>
          </w:tcPr>
          <w:p w14:paraId="6EC01A8D" w14:textId="70B3ADAC" w:rsidR="00431097" w:rsidRDefault="00CE604B" w:rsidP="00EC6396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Robotic arm</w:t>
            </w:r>
          </w:p>
        </w:tc>
        <w:tc>
          <w:tcPr>
            <w:tcW w:w="0" w:type="auto"/>
            <w:shd w:val="clear" w:color="auto" w:fill="auto"/>
          </w:tcPr>
          <w:p w14:paraId="5AC77F58" w14:textId="3F8B8155" w:rsidR="00431097" w:rsidRPr="00CE604B" w:rsidRDefault="00CE604B" w:rsidP="00EC6396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26D3101" w14:textId="65CD09D1" w:rsidR="00431097" w:rsidRPr="00CE604B" w:rsidRDefault="00CE604B" w:rsidP="00EC6396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</w:tr>
    </w:tbl>
    <w:p w14:paraId="33154337" w14:textId="77777777" w:rsidR="00641EC2" w:rsidRDefault="00641EC2" w:rsidP="00CE0424">
      <w:pPr>
        <w:pStyle w:val="BodyText"/>
      </w:pPr>
    </w:p>
    <w:p w14:paraId="42700778" w14:textId="77777777" w:rsidR="00817BE9" w:rsidRPr="00932020" w:rsidRDefault="00817BE9" w:rsidP="00CE0424">
      <w:pPr>
        <w:pStyle w:val="BodyText"/>
      </w:pPr>
    </w:p>
    <w:p w14:paraId="38E2DE91" w14:textId="458B4810" w:rsidR="00BE7EA2" w:rsidRDefault="00BE7EA2" w:rsidP="00BE7EA2">
      <w:pPr>
        <w:pStyle w:val="Heading2"/>
      </w:pPr>
      <w:r>
        <w:t>2.2</w:t>
      </w:r>
      <w:r>
        <w:tab/>
        <w:t>Absolute delay model</w:t>
      </w:r>
      <w:r w:rsidR="00AE1353">
        <w:t>l</w:t>
      </w:r>
      <w:r>
        <w:t>ing</w:t>
      </w:r>
    </w:p>
    <w:p w14:paraId="632BC3E0" w14:textId="622274F0" w:rsidR="001F5A24" w:rsidRDefault="00755073" w:rsidP="00BE7EA2">
      <w:pPr>
        <w:pStyle w:val="BodyText"/>
      </w:pPr>
      <w:r>
        <w:t>In the email discussion</w:t>
      </w:r>
      <w:r w:rsidR="00FC0250">
        <w:t xml:space="preserve"> </w:t>
      </w:r>
      <w:r w:rsidR="00FC0250">
        <w:fldChar w:fldCharType="begin"/>
      </w:r>
      <w:r w:rsidR="00FC0250">
        <w:instrText xml:space="preserve"> REF _Ref4754457 \r \h </w:instrText>
      </w:r>
      <w:r w:rsidR="00FC0250">
        <w:fldChar w:fldCharType="separate"/>
      </w:r>
      <w:r w:rsidR="00EB7892">
        <w:t>[2]</w:t>
      </w:r>
      <w:r w:rsidR="00FC0250">
        <w:fldChar w:fldCharType="end"/>
      </w:r>
      <w:r w:rsidR="00FC0250">
        <w:t xml:space="preserve"> </w:t>
      </w:r>
      <w:r>
        <w:t xml:space="preserve">two types of methods for determining the absolute delay in NLOS were proposed: </w:t>
      </w:r>
    </w:p>
    <w:p w14:paraId="0C31DB19" w14:textId="2261382E" w:rsidR="001F5A24" w:rsidRDefault="00B97421" w:rsidP="00B97421">
      <w:pPr>
        <w:pStyle w:val="BodyText"/>
        <w:numPr>
          <w:ilvl w:val="0"/>
          <w:numId w:val="26"/>
        </w:numPr>
      </w:pPr>
      <w:r>
        <w:t xml:space="preserve">A method where the additional delay </w:t>
      </w:r>
      <w:r w:rsidRPr="00340D53">
        <w:rPr>
          <w:rFonts w:ascii="Symbol" w:hAnsi="Symbol"/>
        </w:rPr>
        <w:t></w:t>
      </w:r>
      <w:r w:rsidRPr="00340D53">
        <w:rPr>
          <w:rFonts w:ascii="Symbol" w:hAnsi="Symbol"/>
        </w:rPr>
        <w:t></w:t>
      </w:r>
      <w:r>
        <w:t xml:space="preserve"> is stochastically generated according to some distribution</w:t>
      </w:r>
    </w:p>
    <w:p w14:paraId="67F92120" w14:textId="705E770D" w:rsidR="00782EF3" w:rsidRDefault="00B97421" w:rsidP="00B97421">
      <w:pPr>
        <w:pStyle w:val="BodyText"/>
        <w:numPr>
          <w:ilvl w:val="0"/>
          <w:numId w:val="26"/>
        </w:numPr>
      </w:pPr>
      <w:r>
        <w:t xml:space="preserve">A method </w:t>
      </w:r>
      <w:r w:rsidR="001D1F17">
        <w:t xml:space="preserve">where the stochastically generated </w:t>
      </w:r>
      <w:proofErr w:type="spellStart"/>
      <w:r w:rsidR="001D1F17">
        <w:t>AoDs</w:t>
      </w:r>
      <w:proofErr w:type="spellEnd"/>
      <w:r w:rsidR="001D1F17">
        <w:t xml:space="preserve"> and </w:t>
      </w:r>
      <w:proofErr w:type="spellStart"/>
      <w:r w:rsidR="001D1F17">
        <w:t>AoAs</w:t>
      </w:r>
      <w:proofErr w:type="spellEnd"/>
      <w:r w:rsidR="002F6B5A">
        <w:t xml:space="preserve"> are coupled and used to derive a propagation path</w:t>
      </w:r>
      <w:r w:rsidR="001F5A24">
        <w:t xml:space="preserve"> length</w:t>
      </w:r>
      <w:r w:rsidR="00A942FF">
        <w:t xml:space="preserve"> assuming single-bounce paths</w:t>
      </w:r>
    </w:p>
    <w:p w14:paraId="2B0C4BBA" w14:textId="0368FC03" w:rsidR="002F6B5A" w:rsidRDefault="00860ED5" w:rsidP="00BE7EA2">
      <w:pPr>
        <w:pStyle w:val="BodyText"/>
      </w:pPr>
      <w:r>
        <w:t>T</w:t>
      </w:r>
      <w:r w:rsidR="007E7138">
        <w:t xml:space="preserve">he </w:t>
      </w:r>
      <w:proofErr w:type="spellStart"/>
      <w:r w:rsidR="007E7138">
        <w:t>AoD</w:t>
      </w:r>
      <w:proofErr w:type="spellEnd"/>
      <w:r w:rsidR="007E7138">
        <w:t xml:space="preserve"> and </w:t>
      </w:r>
      <w:proofErr w:type="spellStart"/>
      <w:r w:rsidR="007E7138">
        <w:t>AoA</w:t>
      </w:r>
      <w:proofErr w:type="spellEnd"/>
      <w:r w:rsidR="007E7138">
        <w:t xml:space="preserve"> distributions </w:t>
      </w:r>
      <w:r>
        <w:t xml:space="preserve">are usually </w:t>
      </w:r>
      <w:r w:rsidR="005E75DE">
        <w:t xml:space="preserve">determined through fitting of aggregate </w:t>
      </w:r>
      <w:r w:rsidR="00D855C1">
        <w:t>measures from measurements like angular spread, cluster angular spread, power-angle spectra etc. Th</w:t>
      </w:r>
      <w:r>
        <w:t xml:space="preserve">is </w:t>
      </w:r>
      <w:r w:rsidR="00A942FF">
        <w:t xml:space="preserve">process does not </w:t>
      </w:r>
      <w:r w:rsidR="005D6E7B">
        <w:t>require</w:t>
      </w:r>
      <w:r w:rsidR="00A942FF">
        <w:t xml:space="preserve"> any assumption on single- or multiple-bounce paths</w:t>
      </w:r>
      <w:r w:rsidR="008975A9">
        <w:t xml:space="preserve">. </w:t>
      </w:r>
      <w:r w:rsidR="007B2668">
        <w:t xml:space="preserve">There is therefore a risk that the distributions and realizations of </w:t>
      </w:r>
      <w:proofErr w:type="spellStart"/>
      <w:r w:rsidR="007B2668">
        <w:t>AoDs</w:t>
      </w:r>
      <w:proofErr w:type="spellEnd"/>
      <w:r w:rsidR="007B2668">
        <w:t xml:space="preserve"> and </w:t>
      </w:r>
      <w:proofErr w:type="spellStart"/>
      <w:r w:rsidR="007B2668">
        <w:t>AoAs</w:t>
      </w:r>
      <w:proofErr w:type="spellEnd"/>
      <w:r w:rsidR="007B2668">
        <w:t xml:space="preserve">, when forced to </w:t>
      </w:r>
      <w:r w:rsidR="00010936">
        <w:t>correspond to single-bounce</w:t>
      </w:r>
      <w:r w:rsidR="008613C2">
        <w:t>,</w:t>
      </w:r>
      <w:r w:rsidR="00010936">
        <w:t xml:space="preserve"> could end up differently than what they look in measurements. </w:t>
      </w:r>
      <w:r w:rsidR="008613C2">
        <w:t xml:space="preserve">For this </w:t>
      </w:r>
      <w:proofErr w:type="gramStart"/>
      <w:r w:rsidR="008613C2">
        <w:t>and also</w:t>
      </w:r>
      <w:proofErr w:type="gramEnd"/>
      <w:r w:rsidR="008613C2">
        <w:t xml:space="preserve"> for complexity reasons, we are more in favour of a stochastic modelling of </w:t>
      </w:r>
      <w:r w:rsidR="00340D53" w:rsidRPr="00340D53">
        <w:rPr>
          <w:rFonts w:ascii="Symbol" w:hAnsi="Symbol"/>
        </w:rPr>
        <w:t></w:t>
      </w:r>
      <w:r w:rsidR="00340D53" w:rsidRPr="00340D53">
        <w:rPr>
          <w:rFonts w:ascii="Symbol" w:hAnsi="Symbol"/>
        </w:rPr>
        <w:t></w:t>
      </w:r>
      <w:r w:rsidR="00340D53">
        <w:t xml:space="preserve">, where measurements or ray-tracing could be used as the basis to determine a suitable distribution. </w:t>
      </w:r>
      <w:r w:rsidR="00166430">
        <w:t xml:space="preserve">Note however that for positioning studies, also the inter-link correlations of the LOS state and </w:t>
      </w:r>
      <w:r w:rsidR="00AA718F">
        <w:t xml:space="preserve">of </w:t>
      </w:r>
      <w:r w:rsidR="00AA718F" w:rsidRPr="00340D53">
        <w:rPr>
          <w:rFonts w:ascii="Symbol" w:hAnsi="Symbol"/>
        </w:rPr>
        <w:t></w:t>
      </w:r>
      <w:r w:rsidR="00AA718F" w:rsidRPr="00340D53">
        <w:rPr>
          <w:rFonts w:ascii="Symbol" w:hAnsi="Symbol"/>
        </w:rPr>
        <w:t></w:t>
      </w:r>
      <w:r w:rsidR="00AA718F">
        <w:t xml:space="preserve"> may be important. </w:t>
      </w:r>
    </w:p>
    <w:p w14:paraId="5B0A1CA3" w14:textId="77777777" w:rsidR="00B97421" w:rsidRPr="00782EF3" w:rsidRDefault="00B97421" w:rsidP="00BE7EA2">
      <w:pPr>
        <w:pStyle w:val="BodyText"/>
      </w:pPr>
    </w:p>
    <w:p w14:paraId="63AFD43C" w14:textId="730D6616" w:rsidR="00AA718F" w:rsidRDefault="002F1FD8" w:rsidP="00BE7EA2">
      <w:pPr>
        <w:pStyle w:val="Proposal"/>
      </w:pPr>
      <w:bookmarkStart w:id="3" w:name="_Toc4770011"/>
      <w:r>
        <w:t xml:space="preserve">Use a random distribution to model </w:t>
      </w:r>
      <w:r>
        <w:rPr>
          <w:rFonts w:ascii="Symbol" w:hAnsi="Symbol"/>
          <w:lang w:val="en-US"/>
        </w:rPr>
        <w:t></w:t>
      </w:r>
      <w:r>
        <w:rPr>
          <w:rFonts w:ascii="Symbol" w:hAnsi="Symbol"/>
          <w:lang w:val="en-US"/>
        </w:rPr>
        <w:t></w:t>
      </w:r>
      <w:r>
        <w:rPr>
          <w:rFonts w:ascii="Symbol" w:hAnsi="Symbol"/>
          <w:lang w:val="en-US"/>
        </w:rPr>
        <w:t></w:t>
      </w:r>
      <w:r>
        <w:t>in NLOS conditions</w:t>
      </w:r>
      <w:bookmarkEnd w:id="3"/>
    </w:p>
    <w:p w14:paraId="641256D3" w14:textId="2820EFBB" w:rsidR="002F1FD8" w:rsidRDefault="002F1FD8" w:rsidP="002F1FD8">
      <w:pPr>
        <w:pStyle w:val="Proposal"/>
        <w:numPr>
          <w:ilvl w:val="0"/>
          <w:numId w:val="27"/>
        </w:numPr>
      </w:pPr>
      <w:bookmarkStart w:id="4" w:name="_Toc4770012"/>
      <w:r>
        <w:t xml:space="preserve">FFS on the need for modelling inter-link correlations for the LOS/NLOS state and </w:t>
      </w:r>
      <w:r w:rsidR="00256729">
        <w:t xml:space="preserve">for </w:t>
      </w:r>
      <w:r w:rsidR="00256729">
        <w:rPr>
          <w:rFonts w:ascii="Symbol" w:hAnsi="Symbol"/>
          <w:lang w:val="en-US"/>
        </w:rPr>
        <w:t></w:t>
      </w:r>
      <w:r w:rsidR="00256729">
        <w:rPr>
          <w:rFonts w:ascii="Symbol" w:hAnsi="Symbol"/>
          <w:lang w:val="en-US"/>
        </w:rPr>
        <w:t></w:t>
      </w:r>
      <w:bookmarkEnd w:id="4"/>
    </w:p>
    <w:p w14:paraId="6391C168" w14:textId="1299AE6E" w:rsidR="00BE7EA2" w:rsidRPr="00A04F49" w:rsidRDefault="00BE7EA2" w:rsidP="00256729">
      <w:pPr>
        <w:pStyle w:val="Proposal"/>
        <w:numPr>
          <w:ilvl w:val="0"/>
          <w:numId w:val="0"/>
        </w:numPr>
        <w:ind w:left="1701" w:hanging="1701"/>
      </w:pPr>
    </w:p>
    <w:p w14:paraId="184BE7EC" w14:textId="77777777" w:rsidR="00BE7EA2" w:rsidRDefault="00BE7EA2" w:rsidP="00F63950">
      <w:pPr>
        <w:pStyle w:val="Heading2"/>
      </w:pPr>
    </w:p>
    <w:p w14:paraId="1D6B45B2" w14:textId="77777777" w:rsidR="00C473A5" w:rsidRDefault="00C473A5" w:rsidP="00CE0424">
      <w:pPr>
        <w:pStyle w:val="Heading1"/>
        <w:sectPr w:rsidR="00C473A5" w:rsidSect="00DA77F8">
          <w:footnotePr>
            <w:numRestart w:val="eachSect"/>
          </w:footnotePr>
          <w:type w:val="continuous"/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</w:p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E152A0A" w14:textId="77777777" w:rsidR="00EB7892" w:rsidRDefault="00EB7892" w:rsidP="006E1C82">
      <w:pPr>
        <w:pStyle w:val="BodyText"/>
      </w:pPr>
    </w:p>
    <w:p w14:paraId="5DF8B489" w14:textId="65C47DA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5735A83" w14:textId="7107AA65" w:rsidR="00EB789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70010" w:history="1">
        <w:r w:rsidR="00EB7892" w:rsidRPr="0043137C">
          <w:rPr>
            <w:rStyle w:val="Hyperlink"/>
            <w:noProof/>
          </w:rPr>
          <w:t>Proposal 1</w:t>
        </w:r>
        <w:r w:rsidR="00EB78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7892" w:rsidRPr="0043137C">
          <w:rPr>
            <w:rStyle w:val="Hyperlink"/>
            <w:noProof/>
          </w:rPr>
          <w:t>For the industrial scenario, consider the following types of blockers with Blocking model B: humans, AGVs and robotic arms.</w:t>
        </w:r>
      </w:hyperlink>
    </w:p>
    <w:p w14:paraId="15644F4D" w14:textId="5FC8EDA0" w:rsidR="00EB7892" w:rsidRDefault="001C35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70011" w:history="1">
        <w:r w:rsidR="00EB7892" w:rsidRPr="0043137C">
          <w:rPr>
            <w:rStyle w:val="Hyperlink"/>
            <w:noProof/>
          </w:rPr>
          <w:t>Proposal 2</w:t>
        </w:r>
        <w:r w:rsidR="00EB78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7892" w:rsidRPr="0043137C">
          <w:rPr>
            <w:rStyle w:val="Hyperlink"/>
            <w:noProof/>
          </w:rPr>
          <w:t xml:space="preserve">Use a random distribution to model </w:t>
        </w:r>
        <w:r w:rsidR="00EB7892" w:rsidRPr="0043137C">
          <w:rPr>
            <w:rStyle w:val="Hyperlink"/>
            <w:rFonts w:ascii="Symbol" w:hAnsi="Symbol"/>
            <w:noProof/>
            <w:lang w:val="en-US"/>
          </w:rPr>
          <w:t></w:t>
        </w:r>
        <w:r w:rsidR="00EB7892" w:rsidRPr="0043137C">
          <w:rPr>
            <w:rStyle w:val="Hyperlink"/>
            <w:rFonts w:ascii="Symbol" w:hAnsi="Symbol"/>
            <w:noProof/>
            <w:lang w:val="en-US"/>
          </w:rPr>
          <w:t></w:t>
        </w:r>
        <w:r w:rsidR="00EB7892" w:rsidRPr="0043137C">
          <w:rPr>
            <w:rStyle w:val="Hyperlink"/>
            <w:rFonts w:ascii="Symbol" w:hAnsi="Symbol"/>
            <w:noProof/>
            <w:lang w:val="en-US"/>
          </w:rPr>
          <w:t></w:t>
        </w:r>
        <w:r w:rsidR="00EB7892" w:rsidRPr="0043137C">
          <w:rPr>
            <w:rStyle w:val="Hyperlink"/>
            <w:noProof/>
          </w:rPr>
          <w:t>in NLOS conditions</w:t>
        </w:r>
      </w:hyperlink>
    </w:p>
    <w:p w14:paraId="4442EC2D" w14:textId="50209490" w:rsidR="00EB7892" w:rsidRDefault="001C35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70012" w:history="1">
        <w:r w:rsidR="00EB7892" w:rsidRPr="0043137C">
          <w:rPr>
            <w:rStyle w:val="Hyperlink"/>
            <w:rFonts w:cs="Arial"/>
            <w:noProof/>
          </w:rPr>
          <w:t>-</w:t>
        </w:r>
        <w:r w:rsidR="00EB78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7892" w:rsidRPr="0043137C">
          <w:rPr>
            <w:rStyle w:val="Hyperlink"/>
            <w:noProof/>
          </w:rPr>
          <w:t xml:space="preserve">FFS on the need for modelling inter-link correlations for the LOS/NLOS state and for </w:t>
        </w:r>
        <w:r w:rsidR="00EB7892" w:rsidRPr="0043137C">
          <w:rPr>
            <w:rStyle w:val="Hyperlink"/>
            <w:rFonts w:ascii="Symbol" w:hAnsi="Symbol"/>
            <w:noProof/>
            <w:lang w:val="en-US"/>
          </w:rPr>
          <w:t></w:t>
        </w:r>
        <w:r w:rsidR="00EB7892" w:rsidRPr="0043137C">
          <w:rPr>
            <w:rStyle w:val="Hyperlink"/>
            <w:rFonts w:ascii="Symbol" w:hAnsi="Symbol"/>
            <w:noProof/>
            <w:lang w:val="en-US"/>
          </w:rPr>
          <w:t></w:t>
        </w:r>
      </w:hyperlink>
    </w:p>
    <w:p w14:paraId="20461022" w14:textId="7818AB5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AE5AD10" w14:textId="77777777" w:rsidR="008E065E" w:rsidRPr="00CE0424" w:rsidRDefault="008E065E" w:rsidP="008E065E">
      <w:pPr>
        <w:rPr>
          <w:b/>
          <w:bCs/>
        </w:rPr>
      </w:pPr>
    </w:p>
    <w:p w14:paraId="507C51A5" w14:textId="77777777" w:rsidR="00C01F33" w:rsidRPr="00CE0424" w:rsidRDefault="00C01F33" w:rsidP="006E062C"/>
    <w:p w14:paraId="4C5504C0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0FFB870A" w14:textId="77777777" w:rsidR="002E6F3C" w:rsidRDefault="002E6F3C" w:rsidP="002E6F3C">
      <w:pPr>
        <w:pStyle w:val="Reference"/>
      </w:pPr>
      <w:bookmarkStart w:id="6" w:name="_Ref4754439"/>
      <w:bookmarkStart w:id="7" w:name="_Ref174151459"/>
      <w:bookmarkStart w:id="8" w:name="_Ref189809556"/>
      <w:r>
        <w:t>R1-1903124, Email discussion on measurements and observations, Ericsson, RAN1#96, Athens, February 2019</w:t>
      </w:r>
      <w:bookmarkEnd w:id="6"/>
    </w:p>
    <w:p w14:paraId="3F783857" w14:textId="6D65940A" w:rsidR="002E6F3C" w:rsidRDefault="002E6F3C" w:rsidP="002E6F3C">
      <w:pPr>
        <w:pStyle w:val="Reference"/>
      </w:pPr>
      <w:bookmarkStart w:id="9" w:name="_Ref4754457"/>
      <w:r w:rsidRPr="00831338">
        <w:t>R1-19</w:t>
      </w:r>
      <w:r w:rsidR="00831338" w:rsidRPr="00831338">
        <w:t>05197</w:t>
      </w:r>
      <w:r>
        <w:t xml:space="preserve">, Summary of email discussion on </w:t>
      </w:r>
      <w:r w:rsidR="005810E2">
        <w:t>additional modelling components</w:t>
      </w:r>
      <w:r>
        <w:t>, Ericsson, RAN1#96bis, Xi’an, April 2019</w:t>
      </w:r>
      <w:bookmarkEnd w:id="9"/>
    </w:p>
    <w:bookmarkEnd w:id="7"/>
    <w:bookmarkEnd w:id="8"/>
    <w:sectPr w:rsidR="002E6F3C" w:rsidSect="00DA77F8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020A6" w14:textId="77777777" w:rsidR="008E1B28" w:rsidRDefault="008E1B28">
      <w:r>
        <w:separator/>
      </w:r>
    </w:p>
  </w:endnote>
  <w:endnote w:type="continuationSeparator" w:id="0">
    <w:p w14:paraId="196B98E3" w14:textId="77777777" w:rsidR="008E1B28" w:rsidRDefault="008E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49D3E" w14:textId="77777777" w:rsidR="008E1B28" w:rsidRDefault="008E1B28">
      <w:r>
        <w:separator/>
      </w:r>
    </w:p>
  </w:footnote>
  <w:footnote w:type="continuationSeparator" w:id="0">
    <w:p w14:paraId="7814AB78" w14:textId="77777777" w:rsidR="008E1B28" w:rsidRDefault="008E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372618"/>
    <w:multiLevelType w:val="hybridMultilevel"/>
    <w:tmpl w:val="E6480E6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604D74"/>
    <w:multiLevelType w:val="hybridMultilevel"/>
    <w:tmpl w:val="1B2E31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9A13D0"/>
    <w:multiLevelType w:val="hybridMultilevel"/>
    <w:tmpl w:val="CA6C3CC2"/>
    <w:lvl w:ilvl="0" w:tplc="21948A86">
      <w:start w:val="4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1"/>
  </w:num>
  <w:num w:numId="22">
    <w:abstractNumId w:val="24"/>
  </w:num>
  <w:num w:numId="23">
    <w:abstractNumId w:val="21"/>
  </w:num>
  <w:num w:numId="24">
    <w:abstractNumId w:val="4"/>
  </w:num>
  <w:num w:numId="25">
    <w:abstractNumId w:val="17"/>
  </w:num>
  <w:num w:numId="26">
    <w:abstractNumId w:val="15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0936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78C"/>
    <w:rsid w:val="000616E7"/>
    <w:rsid w:val="0006487E"/>
    <w:rsid w:val="00065E1A"/>
    <w:rsid w:val="000765B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E7A"/>
    <w:rsid w:val="001062FB"/>
    <w:rsid w:val="001063E6"/>
    <w:rsid w:val="00113CF4"/>
    <w:rsid w:val="001153EA"/>
    <w:rsid w:val="00115643"/>
    <w:rsid w:val="00116765"/>
    <w:rsid w:val="001219F5"/>
    <w:rsid w:val="00121A20"/>
    <w:rsid w:val="00121B5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430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36DE"/>
    <w:rsid w:val="001B5A5D"/>
    <w:rsid w:val="001C1CE5"/>
    <w:rsid w:val="001C3586"/>
    <w:rsid w:val="001C3D2A"/>
    <w:rsid w:val="001D1F17"/>
    <w:rsid w:val="001D51BA"/>
    <w:rsid w:val="001D53E7"/>
    <w:rsid w:val="001D6342"/>
    <w:rsid w:val="001D6D53"/>
    <w:rsid w:val="001E4088"/>
    <w:rsid w:val="001E58E2"/>
    <w:rsid w:val="001E7AED"/>
    <w:rsid w:val="001F3916"/>
    <w:rsid w:val="001F54C5"/>
    <w:rsid w:val="001F57FE"/>
    <w:rsid w:val="001F5A24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F40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5FA"/>
    <w:rsid w:val="002435B3"/>
    <w:rsid w:val="002458EB"/>
    <w:rsid w:val="002500C8"/>
    <w:rsid w:val="0025672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6F3C"/>
    <w:rsid w:val="002E7CAE"/>
    <w:rsid w:val="002F1FD8"/>
    <w:rsid w:val="002F2771"/>
    <w:rsid w:val="002F37A9"/>
    <w:rsid w:val="002F6B5A"/>
    <w:rsid w:val="00301CE6"/>
    <w:rsid w:val="0030256B"/>
    <w:rsid w:val="0030501F"/>
    <w:rsid w:val="0030556A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D53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87B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73C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2FF"/>
    <w:rsid w:val="0041263E"/>
    <w:rsid w:val="00413AAC"/>
    <w:rsid w:val="00413E92"/>
    <w:rsid w:val="00421105"/>
    <w:rsid w:val="00422AA4"/>
    <w:rsid w:val="004242F4"/>
    <w:rsid w:val="00427248"/>
    <w:rsid w:val="00431097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79F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5F5"/>
    <w:rsid w:val="00534B59"/>
    <w:rsid w:val="00536759"/>
    <w:rsid w:val="00537C62"/>
    <w:rsid w:val="00546970"/>
    <w:rsid w:val="00554E19"/>
    <w:rsid w:val="0056121F"/>
    <w:rsid w:val="0057224C"/>
    <w:rsid w:val="00572505"/>
    <w:rsid w:val="005810E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A05"/>
    <w:rsid w:val="005B6F83"/>
    <w:rsid w:val="005C74FB"/>
    <w:rsid w:val="005D1602"/>
    <w:rsid w:val="005D6E7B"/>
    <w:rsid w:val="005E385F"/>
    <w:rsid w:val="005E592D"/>
    <w:rsid w:val="005E5B81"/>
    <w:rsid w:val="005E75D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EC2"/>
    <w:rsid w:val="0064208D"/>
    <w:rsid w:val="00643475"/>
    <w:rsid w:val="0064396A"/>
    <w:rsid w:val="0064624E"/>
    <w:rsid w:val="00646BD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F68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CED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073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2EF3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66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138"/>
    <w:rsid w:val="007F5A10"/>
    <w:rsid w:val="00803FAE"/>
    <w:rsid w:val="0080605F"/>
    <w:rsid w:val="00807786"/>
    <w:rsid w:val="00811FCB"/>
    <w:rsid w:val="008158D6"/>
    <w:rsid w:val="00817196"/>
    <w:rsid w:val="00817BE9"/>
    <w:rsid w:val="008235DB"/>
    <w:rsid w:val="00824AB4"/>
    <w:rsid w:val="00825C42"/>
    <w:rsid w:val="00825D25"/>
    <w:rsid w:val="00827D6F"/>
    <w:rsid w:val="00831338"/>
    <w:rsid w:val="008376AC"/>
    <w:rsid w:val="008444E8"/>
    <w:rsid w:val="00844E80"/>
    <w:rsid w:val="00846639"/>
    <w:rsid w:val="00846FE7"/>
    <w:rsid w:val="00856911"/>
    <w:rsid w:val="00860823"/>
    <w:rsid w:val="00860ED5"/>
    <w:rsid w:val="008613C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4E8A"/>
    <w:rsid w:val="00895386"/>
    <w:rsid w:val="008975A9"/>
    <w:rsid w:val="008A21FF"/>
    <w:rsid w:val="008A2CE2"/>
    <w:rsid w:val="008A30AC"/>
    <w:rsid w:val="008A44B8"/>
    <w:rsid w:val="008A51A8"/>
    <w:rsid w:val="008A54C7"/>
    <w:rsid w:val="008A77D8"/>
    <w:rsid w:val="008A7D33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3C55"/>
    <w:rsid w:val="008D6D1A"/>
    <w:rsid w:val="008E065E"/>
    <w:rsid w:val="008E0927"/>
    <w:rsid w:val="008E1909"/>
    <w:rsid w:val="008E1B28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020"/>
    <w:rsid w:val="00934D56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178"/>
    <w:rsid w:val="009A7EE2"/>
    <w:rsid w:val="009B1F30"/>
    <w:rsid w:val="009B3AC2"/>
    <w:rsid w:val="009B4DF4"/>
    <w:rsid w:val="009B4F0C"/>
    <w:rsid w:val="009B564E"/>
    <w:rsid w:val="009B7E87"/>
    <w:rsid w:val="009C0169"/>
    <w:rsid w:val="009C403E"/>
    <w:rsid w:val="009D4FF0"/>
    <w:rsid w:val="009D6650"/>
    <w:rsid w:val="009D703C"/>
    <w:rsid w:val="009D718F"/>
    <w:rsid w:val="009E068F"/>
    <w:rsid w:val="009E14E0"/>
    <w:rsid w:val="009E1BB6"/>
    <w:rsid w:val="009E35DB"/>
    <w:rsid w:val="009E47A3"/>
    <w:rsid w:val="009E65D0"/>
    <w:rsid w:val="009F08F3"/>
    <w:rsid w:val="009F344F"/>
    <w:rsid w:val="00A031D8"/>
    <w:rsid w:val="00A048A8"/>
    <w:rsid w:val="00A04F49"/>
    <w:rsid w:val="00A13E54"/>
    <w:rsid w:val="00A17F63"/>
    <w:rsid w:val="00A20DBB"/>
    <w:rsid w:val="00A2193B"/>
    <w:rsid w:val="00A2351A"/>
    <w:rsid w:val="00A238C4"/>
    <w:rsid w:val="00A264A9"/>
    <w:rsid w:val="00A26DCF"/>
    <w:rsid w:val="00A27785"/>
    <w:rsid w:val="00A30187"/>
    <w:rsid w:val="00A3448A"/>
    <w:rsid w:val="00A36297"/>
    <w:rsid w:val="00A41E2B"/>
    <w:rsid w:val="00A45B74"/>
    <w:rsid w:val="00A50343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DEC"/>
    <w:rsid w:val="00A92879"/>
    <w:rsid w:val="00A942FF"/>
    <w:rsid w:val="00A9442A"/>
    <w:rsid w:val="00AA016F"/>
    <w:rsid w:val="00AA0DAA"/>
    <w:rsid w:val="00AA1ED6"/>
    <w:rsid w:val="00AA51D6"/>
    <w:rsid w:val="00AA718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1353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034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97421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EA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04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74D"/>
    <w:rsid w:val="00D546FF"/>
    <w:rsid w:val="00D55AD5"/>
    <w:rsid w:val="00D576CA"/>
    <w:rsid w:val="00D61AF5"/>
    <w:rsid w:val="00D652B5"/>
    <w:rsid w:val="00D66155"/>
    <w:rsid w:val="00D6678E"/>
    <w:rsid w:val="00D708B0"/>
    <w:rsid w:val="00D77B1D"/>
    <w:rsid w:val="00D8021F"/>
    <w:rsid w:val="00D80383"/>
    <w:rsid w:val="00D823C6"/>
    <w:rsid w:val="00D8327F"/>
    <w:rsid w:val="00D855C1"/>
    <w:rsid w:val="00D86CA3"/>
    <w:rsid w:val="00D871CE"/>
    <w:rsid w:val="00D91758"/>
    <w:rsid w:val="00D9196D"/>
    <w:rsid w:val="00D92982"/>
    <w:rsid w:val="00DA03C0"/>
    <w:rsid w:val="00DA305E"/>
    <w:rsid w:val="00DA5417"/>
    <w:rsid w:val="00DA56E8"/>
    <w:rsid w:val="00DA77F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489"/>
    <w:rsid w:val="00E32608"/>
    <w:rsid w:val="00E34188"/>
    <w:rsid w:val="00E34B6E"/>
    <w:rsid w:val="00E35559"/>
    <w:rsid w:val="00E3723A"/>
    <w:rsid w:val="00E37860"/>
    <w:rsid w:val="00E44127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3B7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B7892"/>
    <w:rsid w:val="00EC24D5"/>
    <w:rsid w:val="00EC27C6"/>
    <w:rsid w:val="00EC3B6D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AD2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CF7"/>
    <w:rsid w:val="00F90F8D"/>
    <w:rsid w:val="00F92782"/>
    <w:rsid w:val="00F93AA9"/>
    <w:rsid w:val="00F96985"/>
    <w:rsid w:val="00F97838"/>
    <w:rsid w:val="00FA2BB3"/>
    <w:rsid w:val="00FB4C80"/>
    <w:rsid w:val="00FB6A6A"/>
    <w:rsid w:val="00FC0250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D2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rsid w:val="00431097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7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5494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2019-03-29T15:52:00Z</dcterms:created>
  <dcterms:modified xsi:type="dcterms:W3CDTF">2019-03-29T15:52:00Z</dcterms:modified>
  <cp:category/>
</cp:coreProperties>
</file>